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8"/>
          <w:szCs w:val="28"/>
          <w:rtl w:val="0"/>
        </w:rPr>
        <w:t xml:space="preserve">Megan Hayes NUS National Conference 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8"/>
          <w:szCs w:val="28"/>
          <w:rtl w:val="0"/>
        </w:rPr>
        <w:t xml:space="preserve">Delegate Report</w:t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I attended the NUS conference on the 28</w:t>
      </w:r>
      <w:r w:rsidDel="00000000" w:rsidR="00000000" w:rsidRPr="00000000">
        <w:rPr>
          <w:rFonts w:ascii="Calibri" w:cs="Calibri" w:eastAsia="Calibri" w:hAnsi="Calibri"/>
          <w:color w:val="201f1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and 29</w:t>
      </w:r>
      <w:r w:rsidDel="00000000" w:rsidR="00000000" w:rsidRPr="00000000">
        <w:rPr>
          <w:rFonts w:ascii="Calibri" w:cs="Calibri" w:eastAsia="Calibri" w:hAnsi="Calibri"/>
          <w:color w:val="201f1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of March 2022 as one of the elected delegates for the University of Suffolk’s Students Union. Whilst I was at the conference I attended welcome talks, workshops, listened to the candidates’ speeches and the guest speakers. The workshop that I attended was. ‘Making university accessible to students of all backgrounds’. In this workshop I worked with people from lots of different universities all with different experiences of this topic. I found it really interesting to hear all the different viewpoints and all the issues they face at their university. I haven’t had much experience of seeing other universities or understanding how other universities function, so it was a good opportunity for me to learn more about this. As groups we discussed different ideas of how to tackle some of the issues that were raised.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The proposals that we picked to get discussed at conference were: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52.00000000000003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Making university accessible to students of all backgrounds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52.00000000000003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Reduce the number of single use plastics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52.00000000000003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Student housing co-operatives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52.00000000000003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Sexual education in education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52.00000000000003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Healthcare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line="252.00000000000003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Tackling gender-based violence</w:t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After listening to the candidates’ speeches and reading their manifestos I decided to vote for Shaima Dallali for President and Chloe Field for Vice President, both of which won the vote.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01f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